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B4" w:rsidRPr="003B7A45" w:rsidRDefault="00BE0BB4" w:rsidP="00BE0BB4">
      <w:pPr>
        <w:spacing w:after="0" w:line="240" w:lineRule="auto"/>
        <w:ind w:left="792"/>
        <w:jc w:val="center"/>
        <w:rPr>
          <w:b/>
          <w:color w:val="943634"/>
          <w:sz w:val="28"/>
          <w:szCs w:val="28"/>
          <w:lang w:val="kk-KZ"/>
        </w:rPr>
      </w:pPr>
      <w:r>
        <w:rPr>
          <w:noProof/>
          <w:color w:val="94363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1239078</wp:posOffset>
            </wp:positionH>
            <wp:positionV relativeFrom="paragraph">
              <wp:posOffset>-205796</wp:posOffset>
            </wp:positionV>
            <wp:extent cx="879447" cy="811033"/>
            <wp:effectExtent l="19050" t="0" r="0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943634"/>
          <w:sz w:val="28"/>
          <w:szCs w:val="28"/>
          <w:lang w:val="kk-KZ"/>
        </w:rPr>
        <w:t xml:space="preserve"> </w:t>
      </w:r>
      <w:r w:rsidRPr="003B7A45">
        <w:rPr>
          <w:b/>
          <w:color w:val="943634"/>
          <w:sz w:val="28"/>
          <w:szCs w:val="28"/>
          <w:lang w:val="kk-KZ"/>
        </w:rPr>
        <w:t>РЕСПУБЛИКАЛЫҚ АДВОКАТТАР АЛҚАСЫ</w:t>
      </w:r>
    </w:p>
    <w:p w:rsidR="00BE0BB4" w:rsidRPr="003B7A45" w:rsidRDefault="00BE0BB4" w:rsidP="00BE0BB4">
      <w:pPr>
        <w:spacing w:after="0" w:line="240" w:lineRule="auto"/>
        <w:ind w:left="792"/>
        <w:jc w:val="center"/>
        <w:rPr>
          <w:b/>
          <w:color w:val="943634"/>
          <w:sz w:val="28"/>
          <w:szCs w:val="28"/>
          <w:lang w:val="kk-KZ"/>
        </w:rPr>
      </w:pPr>
      <w:r>
        <w:rPr>
          <w:b/>
          <w:color w:val="943634"/>
          <w:sz w:val="28"/>
          <w:szCs w:val="28"/>
          <w:lang w:val="kk-KZ"/>
        </w:rPr>
        <w:t xml:space="preserve"> </w:t>
      </w:r>
      <w:r w:rsidRPr="003B7A45">
        <w:rPr>
          <w:b/>
          <w:color w:val="943634"/>
          <w:sz w:val="28"/>
          <w:szCs w:val="28"/>
          <w:lang w:val="kk-KZ"/>
        </w:rPr>
        <w:t>РЕСПУБЛИКАНСКАЯ КОЛЛЕГИЯ АДВОКАТОВ</w:t>
      </w:r>
    </w:p>
    <w:p w:rsidR="00BE0BB4" w:rsidRPr="00BE0BB4" w:rsidRDefault="00BE0BB4" w:rsidP="00BE0BB4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943634"/>
          <w:sz w:val="28"/>
          <w:szCs w:val="28"/>
          <w:lang w:val="en-US"/>
        </w:rPr>
      </w:pPr>
      <w:r w:rsidRPr="00BE0BB4">
        <w:rPr>
          <w:b/>
          <w:color w:val="943634"/>
          <w:sz w:val="28"/>
          <w:szCs w:val="28"/>
          <w:lang w:val="en-US"/>
        </w:rPr>
        <w:t xml:space="preserve">            </w:t>
      </w:r>
      <w:r>
        <w:rPr>
          <w:b/>
          <w:color w:val="943634"/>
          <w:sz w:val="28"/>
          <w:szCs w:val="28"/>
          <w:lang w:val="kk-KZ"/>
        </w:rPr>
        <w:t xml:space="preserve">  </w:t>
      </w:r>
      <w:r w:rsidRPr="003B7A45">
        <w:rPr>
          <w:b/>
          <w:color w:val="943634"/>
          <w:sz w:val="28"/>
          <w:szCs w:val="28"/>
          <w:lang w:val="en-US"/>
        </w:rPr>
        <w:t>THE REPUBLICAN COLLEGIUM OF ADVOCATES</w:t>
      </w:r>
    </w:p>
    <w:p w:rsidR="00D056B8" w:rsidRDefault="00BE0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</w:t>
      </w:r>
      <w:r w:rsidR="00DE3D5B">
        <w:rPr>
          <w:rFonts w:ascii="Arial" w:hAnsi="Arial" w:cs="Arial"/>
          <w:b/>
          <w:sz w:val="24"/>
          <w:szCs w:val="24"/>
          <w:lang w:val="kk-KZ"/>
        </w:rPr>
        <w:t>ЦЕНТР ПОВЫШЕНИЯ КВАЛИФИКАЦИИ АДВОКАТОВ</w:t>
      </w:r>
    </w:p>
    <w:p w:rsidR="00D056B8" w:rsidRDefault="00BE0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</w:t>
      </w:r>
    </w:p>
    <w:p w:rsidR="00D056B8" w:rsidRDefault="00BE0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DE3D5B">
        <w:rPr>
          <w:rFonts w:ascii="Arial" w:hAnsi="Arial" w:cs="Arial"/>
          <w:b/>
          <w:sz w:val="24"/>
          <w:szCs w:val="24"/>
          <w:lang w:val="kk-KZ"/>
        </w:rPr>
        <w:t xml:space="preserve">КАЛЕНДАРЬ </w:t>
      </w:r>
    </w:p>
    <w:p w:rsidR="00D056B8" w:rsidRDefault="00BE0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</w:t>
      </w:r>
      <w:r w:rsidR="00DE3D5B">
        <w:rPr>
          <w:rFonts w:ascii="Arial" w:hAnsi="Arial" w:cs="Arial"/>
          <w:b/>
          <w:sz w:val="24"/>
          <w:szCs w:val="24"/>
          <w:lang w:val="kk-KZ"/>
        </w:rPr>
        <w:t xml:space="preserve">ПРОВЕДЕНИЯ УЧЕБНЫХ МЕРОПРИЯТИЙ </w:t>
      </w:r>
    </w:p>
    <w:p w:rsidR="00D056B8" w:rsidRDefault="00BE0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DE3D5B">
        <w:rPr>
          <w:rFonts w:ascii="Arial" w:hAnsi="Arial" w:cs="Arial"/>
          <w:b/>
          <w:sz w:val="24"/>
          <w:szCs w:val="24"/>
          <w:lang w:val="kk-KZ"/>
        </w:rPr>
        <w:t xml:space="preserve">на  2016 год </w:t>
      </w:r>
    </w:p>
    <w:p w:rsidR="00D056B8" w:rsidRDefault="00D056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</w:p>
    <w:tbl>
      <w:tblPr>
        <w:tblStyle w:val="2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4763"/>
        <w:gridCol w:w="4867"/>
        <w:gridCol w:w="3606"/>
      </w:tblGrid>
      <w:tr w:rsidR="00BE0BB4" w:rsidTr="00BE0BB4">
        <w:trPr>
          <w:cnfStyle w:val="100000000000"/>
          <w:trHeight w:val="828"/>
        </w:trPr>
        <w:tc>
          <w:tcPr>
            <w:cnfStyle w:val="001000000100"/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0BB4" w:rsidRPr="00BE0BB4" w:rsidRDefault="00BE0BB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</w:p>
          <w:p w:rsidR="00BE0BB4" w:rsidRPr="00BE0BB4" w:rsidRDefault="00BE0BB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BE0BB4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Дата </w:t>
            </w:r>
            <w:r w:rsidRPr="00BE0BB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дата  </w:t>
            </w:r>
          </w:p>
        </w:tc>
        <w:tc>
          <w:tcPr>
            <w:tcW w:w="4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0BB4" w:rsidRDefault="00BE0BB4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</w:p>
          <w:p w:rsidR="00BE0BB4" w:rsidRPr="00BE0BB4" w:rsidRDefault="00BE0BB4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BE0BB4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Семинар /тренинг </w:t>
            </w:r>
          </w:p>
        </w:tc>
        <w:tc>
          <w:tcPr>
            <w:tcW w:w="4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0BB4" w:rsidRDefault="00BE0BB4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</w:p>
          <w:p w:rsidR="00BE0BB4" w:rsidRPr="00BE0BB4" w:rsidRDefault="00BE0BB4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BE0BB4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Время и место проведение </w:t>
            </w:r>
          </w:p>
          <w:p w:rsidR="00BE0BB4" w:rsidRPr="00BE0BB4" w:rsidRDefault="00BE0BB4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0BB4" w:rsidRDefault="00BE0BB4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</w:p>
          <w:p w:rsidR="00BE0BB4" w:rsidRPr="00BE0BB4" w:rsidRDefault="00BE0BB4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BE0BB4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Лектор /тренер</w:t>
            </w: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056B8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марта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a"/>
              <w:spacing w:after="0" w:line="240" w:lineRule="auto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«Обзор изменений в  </w:t>
            </w:r>
            <w:r>
              <w:rPr>
                <w:rFonts w:ascii="Arial" w:hAnsi="Arial" w:cs="Arial"/>
                <w:b/>
              </w:rPr>
              <w:t>Уголовно-процессуальном кодексе, в том числе актуальные вопросы по обжалованию, опротестованию судебных актов</w:t>
            </w:r>
            <w:r>
              <w:rPr>
                <w:rFonts w:ascii="Arial" w:hAnsi="Arial" w:cs="Arial"/>
              </w:rPr>
              <w:t>.</w:t>
            </w:r>
          </w:p>
          <w:p w:rsid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D056B8" w:rsidRDefault="00D056B8" w:rsidP="00E07C22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pacing w:after="0" w:line="240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pStyle w:val="aa"/>
              <w:spacing w:after="0" w:line="240" w:lineRule="auto"/>
              <w:jc w:val="center"/>
              <w:cnfStyle w:val="0000001000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Лектор: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Юрченко Раиса Николаевна,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судья Верховного Суда Республики Казахстан в отставке, доктор юридических наук, профессор.</w:t>
            </w:r>
          </w:p>
          <w:p w:rsidR="00D056B8" w:rsidRDefault="00D056B8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i/>
                <w:lang w:val="kk-KZ"/>
              </w:rPr>
            </w:pPr>
          </w:p>
        </w:tc>
      </w:tr>
      <w:tr w:rsidR="00D056B8" w:rsidTr="00BE0BB4">
        <w:trPr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056B8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26-27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марта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spacing w:after="0" w:line="24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Примирительные процедуры для адвокатов в гражданском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процессе.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Часть 1: Медиация 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партисипативные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процедуры "</w:t>
            </w:r>
          </w:p>
          <w:p w:rsid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spacing w:after="0" w:line="240" w:lineRule="auto"/>
              <w:jc w:val="both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Лектор:  </w:t>
            </w:r>
            <w:r>
              <w:rPr>
                <w:rFonts w:ascii="Arial" w:hAnsi="Arial" w:cs="Arial"/>
                <w:b/>
                <w:i/>
              </w:rPr>
              <w:t xml:space="preserve">РАИСОВА </w:t>
            </w:r>
            <w:proofErr w:type="spellStart"/>
            <w:r>
              <w:rPr>
                <w:rFonts w:ascii="Arial" w:hAnsi="Arial" w:cs="Arial"/>
                <w:b/>
                <w:i/>
              </w:rPr>
              <w:t>Балгуль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Амангельдиевна</w:t>
            </w:r>
            <w:proofErr w:type="spellEnd"/>
            <w:r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адвокат Южно-Казахстанской областной коллегии адвокатов, профессиональный медиатор, бизнес - тренер Корпоративного Университета «</w:t>
            </w:r>
            <w:proofErr w:type="spellStart"/>
            <w:r>
              <w:rPr>
                <w:rFonts w:ascii="Arial" w:hAnsi="Arial" w:cs="Arial"/>
                <w:i/>
              </w:rPr>
              <w:t>Самрук-Казына</w:t>
            </w:r>
            <w:proofErr w:type="spellEnd"/>
            <w:r>
              <w:rPr>
                <w:rFonts w:ascii="Arial" w:hAnsi="Arial" w:cs="Arial"/>
                <w:i/>
              </w:rPr>
              <w:t>».</w:t>
            </w:r>
          </w:p>
          <w:p w:rsidR="00D056B8" w:rsidRDefault="00D056B8">
            <w:pPr>
              <w:spacing w:after="0" w:line="240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>1-2</w:t>
            </w:r>
          </w:p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апреля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Примирительные процедуры для адвокатов в уголовном  процессе. </w:t>
            </w:r>
            <w:r>
              <w:rPr>
                <w:rFonts w:ascii="Arial" w:hAnsi="Arial" w:cs="Arial"/>
              </w:rPr>
              <w:t xml:space="preserve">Часть 2: Восстановительное правосудие и  </w:t>
            </w:r>
            <w:proofErr w:type="spellStart"/>
            <w:r>
              <w:rPr>
                <w:rFonts w:ascii="Arial" w:hAnsi="Arial" w:cs="Arial"/>
              </w:rPr>
              <w:t>нарративная</w:t>
            </w:r>
            <w:proofErr w:type="spellEnd"/>
            <w:r>
              <w:rPr>
                <w:rFonts w:ascii="Arial" w:hAnsi="Arial" w:cs="Arial"/>
              </w:rPr>
              <w:t>  медиация"</w:t>
            </w:r>
          </w:p>
          <w:p w:rsidR="00E07C22" w:rsidRDefault="00E07C22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</w:t>
            </w: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Лектор:  </w:t>
            </w:r>
            <w:r>
              <w:rPr>
                <w:rFonts w:ascii="Arial" w:hAnsi="Arial" w:cs="Arial"/>
                <w:b/>
                <w:i/>
              </w:rPr>
              <w:t xml:space="preserve">РАИСОВА </w:t>
            </w:r>
            <w:proofErr w:type="spellStart"/>
            <w:r>
              <w:rPr>
                <w:rFonts w:ascii="Arial" w:hAnsi="Arial" w:cs="Arial"/>
                <w:b/>
                <w:i/>
              </w:rPr>
              <w:t>Балгуль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Амангельдиевна</w:t>
            </w:r>
            <w:proofErr w:type="spellEnd"/>
            <w:r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адвокат Южно-Казахстанской областной коллегии адвокатов, профессиональный медиатор, бизнес - тренер Корпоративного Университета «</w:t>
            </w:r>
            <w:proofErr w:type="spellStart"/>
            <w:r>
              <w:rPr>
                <w:rFonts w:ascii="Arial" w:hAnsi="Arial" w:cs="Arial"/>
                <w:i/>
              </w:rPr>
              <w:t>Самрук-Казына</w:t>
            </w:r>
            <w:proofErr w:type="spellEnd"/>
            <w:r>
              <w:rPr>
                <w:rFonts w:ascii="Arial" w:hAnsi="Arial" w:cs="Arial"/>
                <w:i/>
              </w:rPr>
              <w:t>».</w:t>
            </w:r>
          </w:p>
          <w:p w:rsidR="00D056B8" w:rsidRDefault="00D056B8">
            <w:pPr>
              <w:spacing w:after="0" w:line="240" w:lineRule="auto"/>
              <w:ind w:right="34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B8" w:rsidTr="00BE0BB4">
        <w:trPr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09 апреля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spacing w:after="0" w:line="240" w:lineRule="auto"/>
              <w:jc w:val="both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«Новеллы гражданского процессуального Кодекса. Практика применения».</w:t>
            </w:r>
          </w:p>
          <w:p w:rsidR="00E07C22" w:rsidRDefault="00E07C22">
            <w:pPr>
              <w:spacing w:after="0" w:line="240" w:lineRule="auto"/>
              <w:jc w:val="both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spacing w:after="0" w:line="240" w:lineRule="auto"/>
              <w:jc w:val="both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</w:t>
            </w:r>
            <w:r w:rsidRPr="000435E1">
              <w:rPr>
                <w:rFonts w:ascii="Arial" w:hAnsi="Arial" w:cs="Arial"/>
                <w:sz w:val="20"/>
                <w:szCs w:val="20"/>
              </w:rPr>
              <w:t>0  тенге.</w:t>
            </w:r>
          </w:p>
          <w:p w:rsidR="00D056B8" w:rsidRPr="000435E1" w:rsidRDefault="00D056B8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pStyle w:val="aa"/>
              <w:spacing w:after="0" w:line="240" w:lineRule="auto"/>
              <w:jc w:val="center"/>
              <w:cnfStyle w:val="0000000000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Лектор: </w:t>
            </w:r>
            <w:r>
              <w:rPr>
                <w:rFonts w:ascii="Arial" w:hAnsi="Arial" w:cs="Arial"/>
                <w:b/>
                <w:i/>
              </w:rPr>
              <w:t>Мамонтов Николай Иванович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судья Верховного Суда Республики Казахстан в отставке</w:t>
            </w: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16 апреля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  <w:b/>
              </w:rPr>
              <w:t>Полномочия следственного судьи".</w:t>
            </w:r>
          </w:p>
          <w:p w:rsidR="00E07C22" w:rsidRDefault="00E07C22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b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 xml:space="preserve">Время </w:t>
            </w: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Лектор: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eastAsia="ru-RU"/>
              </w:rPr>
              <w:t>Пазылов</w:t>
            </w:r>
            <w:proofErr w:type="spellEnd"/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eastAsia="ru-RU"/>
              </w:rPr>
              <w:t>Наби</w:t>
            </w:r>
            <w:proofErr w:type="spellEnd"/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eastAsia="ru-RU"/>
              </w:rPr>
              <w:t>Алиакбарович</w:t>
            </w:r>
            <w:proofErr w:type="spellEnd"/>
            <w:r>
              <w:rPr>
                <w:rFonts w:ascii="Arial" w:hAnsi="Arial" w:cs="Arial"/>
                <w:i/>
              </w:rPr>
              <w:t xml:space="preserve"> судья Верховного Суда Республики Казахстан в отставке</w:t>
            </w:r>
          </w:p>
        </w:tc>
      </w:tr>
      <w:tr w:rsidR="00D056B8" w:rsidTr="00BE0BB4">
        <w:trPr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22 апреля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0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Корпоративные споры</w:t>
            </w:r>
          </w:p>
          <w:p w:rsidR="00D056B8" w:rsidRDefault="00DE3D5B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Подсудность корпоративных споров. Обеспечительные меры по корпоративным спорам. Споры, связанные с созданием, перерегистрацией, реорганизацией и ликвидацией юридических лиц. Споры о принадлежности акций и долей участия. Оспаривание сделок с акциями и долям</w:t>
            </w:r>
            <w:r>
              <w:rPr>
                <w:rFonts w:cs="Arial"/>
                <w:sz w:val="16"/>
                <w:szCs w:val="16"/>
              </w:rPr>
              <w:t>и. Споры о возмещении убытков юридическому лицу должностными лицами, участниками, акционерами. Оспаривание учредителями сделок с имуществом юридического лица. Крупные сделки и сделки с заинтересованностью. Споры, связанные с назначением и прекращением полн</w:t>
            </w:r>
            <w:r>
              <w:rPr>
                <w:rFonts w:cs="Arial"/>
                <w:sz w:val="16"/>
                <w:szCs w:val="16"/>
              </w:rPr>
              <w:t xml:space="preserve">омочий должностных лиц. Оспаривание решений общих собраний. Оспаривание решений, действий (бездействия) органов управления юридического лица.  </w:t>
            </w:r>
            <w:r>
              <w:rPr>
                <w:rFonts w:cs="Arial"/>
                <w:sz w:val="16"/>
                <w:szCs w:val="16"/>
              </w:rPr>
              <w:lastRenderedPageBreak/>
              <w:t>Защита прав на акции и доли. Защита от недружественных слияний и поглощений. Защита от корпоративного шантажа (</w:t>
            </w:r>
            <w:proofErr w:type="spellStart"/>
            <w:r>
              <w:rPr>
                <w:rFonts w:cs="Arial"/>
                <w:sz w:val="16"/>
                <w:szCs w:val="16"/>
              </w:rPr>
              <w:t>гр</w:t>
            </w:r>
            <w:r>
              <w:rPr>
                <w:rFonts w:cs="Arial"/>
                <w:sz w:val="16"/>
                <w:szCs w:val="16"/>
              </w:rPr>
              <w:t>инмейла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). Защита прав </w:t>
            </w:r>
            <w:proofErr w:type="spellStart"/>
            <w:r>
              <w:rPr>
                <w:rFonts w:cs="Arial"/>
                <w:sz w:val="16"/>
                <w:szCs w:val="16"/>
              </w:rPr>
              <w:t>миноритарных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участников. </w:t>
            </w:r>
          </w:p>
          <w:p w:rsidR="00D056B8" w:rsidRDefault="00D056B8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Pr="00E07C22" w:rsidRDefault="00E07C2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Лекторы: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 xml:space="preserve">Сизинцев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 xml:space="preserve">, адвокат, управяющий партнер юридической фирмы De Facto,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Шукалова Мария Михайловна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  <w:t>юрист юридической фирмы De Facto</w:t>
            </w: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>29 апреля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1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Анализ судебного дела и поиск решения по юридической проблеме</w:t>
            </w:r>
          </w:p>
          <w:p w:rsidR="00D056B8" w:rsidRDefault="00DE3D5B">
            <w:pPr>
              <w:pStyle w:val="ab"/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Изучение и анализ исходных материалов </w:t>
            </w:r>
            <w:r>
              <w:rPr>
                <w:rFonts w:cs="Arial"/>
                <w:sz w:val="16"/>
                <w:szCs w:val="16"/>
              </w:rPr>
              <w:t>дела. Получение дополнительных материалов. Формулировка цели. Определение желаемых результатов дела. Поиск нормативно-правовых актов по делу.  Анализ собственной и общей судебной и юридической практики по делу. Использование юридической литературы. Поиск и</w:t>
            </w:r>
            <w:r>
              <w:rPr>
                <w:rFonts w:cs="Arial"/>
                <w:sz w:val="16"/>
                <w:szCs w:val="16"/>
              </w:rPr>
              <w:t>сточников по проблеме в интернете. Получение информации о сторонах дела. Анализ сторон. Определение обстоятельств дела и предмета доказывания. Анализ вариантов развития и планирование исхода дела. Определение позиции и стратегии по делу. Согласование с кли</w:t>
            </w:r>
            <w:r>
              <w:rPr>
                <w:rFonts w:cs="Arial"/>
                <w:sz w:val="16"/>
                <w:szCs w:val="16"/>
              </w:rPr>
              <w:t>ентом возможности достижения ожидаемых результатов. Планирование конкретных действий по делу. Оформление итогов анализа. Подведение итогов работы по юридической проблеме. Программное обеспечение для анализа и упорядочения информации.</w:t>
            </w:r>
          </w:p>
          <w:p w:rsidR="00E07C22" w:rsidRDefault="00E07C22">
            <w:pPr>
              <w:pStyle w:val="ab"/>
              <w:cnfStyle w:val="000000100000"/>
              <w:rPr>
                <w:rFonts w:cs="Arial"/>
                <w:sz w:val="16"/>
                <w:szCs w:val="16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>. А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 xml:space="preserve">, адвокат, управяющий партнер юридической фирмы De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>Facto</w:t>
            </w:r>
          </w:p>
        </w:tc>
      </w:tr>
      <w:tr w:rsidR="00D056B8" w:rsidTr="00BE0BB4">
        <w:trPr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13 мая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0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Доказательства и доказывание </w:t>
            </w:r>
            <w:proofErr w:type="gramStart"/>
            <w:r>
              <w:rPr>
                <w:rFonts w:cs="Arial"/>
                <w:b/>
                <w:bCs/>
                <w:sz w:val="24"/>
              </w:rPr>
              <w:t>по новому</w:t>
            </w:r>
            <w:proofErr w:type="gramEnd"/>
            <w:r>
              <w:rPr>
                <w:rFonts w:cs="Arial"/>
                <w:b/>
                <w:bCs/>
                <w:sz w:val="24"/>
              </w:rPr>
              <w:t xml:space="preserve"> ГПК РК</w:t>
            </w:r>
          </w:p>
          <w:p w:rsidR="00D056B8" w:rsidRDefault="00DE3D5B">
            <w:pPr>
              <w:pStyle w:val="ab"/>
              <w:cnfStyle w:val="0000000000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Оценка объема доказательств, необходимого для рассмотрения дела. Предмет доказывания. </w:t>
            </w:r>
            <w:proofErr w:type="spellStart"/>
            <w:r>
              <w:rPr>
                <w:rFonts w:cs="Arial"/>
                <w:sz w:val="16"/>
                <w:szCs w:val="16"/>
              </w:rPr>
              <w:t>Относимость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допустимость, достоверность доказательств. Сбор доказательств. Анализ доказательств. </w:t>
            </w:r>
            <w:r>
              <w:rPr>
                <w:rFonts w:cs="Arial"/>
                <w:sz w:val="16"/>
                <w:szCs w:val="16"/>
              </w:rPr>
              <w:t>Обеспечение доказательств с помощью нотариуса и суда. Процесс доказывания. Представление доказательств в суде первой и апелляционной инстанции. Процессуальные упущения в ходе представления доказательств. Самостоятельный сбор доказательств. Истребование док</w:t>
            </w:r>
            <w:r>
              <w:rPr>
                <w:rFonts w:cs="Arial"/>
                <w:sz w:val="16"/>
                <w:szCs w:val="16"/>
              </w:rPr>
              <w:t xml:space="preserve">азательств по запросу суда. Работа со свидетельскими показаниями. Назначение </w:t>
            </w:r>
            <w:r>
              <w:rPr>
                <w:rFonts w:cs="Arial"/>
                <w:sz w:val="16"/>
                <w:szCs w:val="16"/>
              </w:rPr>
              <w:lastRenderedPageBreak/>
              <w:t>экспертизы. Формулирование ходатайств о назначении экспертизы и вопросов к эксперту. Привлечение к участию в деле специалиста. Письменные и вещественные доказательства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D056B8" w:rsidRDefault="00D056B8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 про</w:t>
            </w:r>
            <w:r w:rsidRPr="000435E1">
              <w:rPr>
                <w:rFonts w:ascii="Arial" w:hAnsi="Arial" w:cs="Arial"/>
                <w:b/>
                <w:sz w:val="20"/>
                <w:szCs w:val="20"/>
              </w:rPr>
              <w:t>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Лекторы: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 xml:space="preserve">, адвокат, управяющий партнер юридической фирмы De Facto,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Юровник Юлия Игоревна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  <w:t>юрист юридической фирмы De Facto</w:t>
            </w: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 xml:space="preserve">27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1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Взаимодействие адвоката и юриста с клиентами</w:t>
            </w:r>
          </w:p>
          <w:p w:rsidR="00D056B8" w:rsidRDefault="00DE3D5B">
            <w:pPr>
              <w:pStyle w:val="ab"/>
              <w:cnfStyle w:val="00000010000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Клиентоориентированный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подход в работе юриста. Привлечение и удержание </w:t>
            </w:r>
            <w:r>
              <w:rPr>
                <w:rFonts w:cs="Arial"/>
                <w:sz w:val="16"/>
                <w:szCs w:val="16"/>
              </w:rPr>
              <w:t>клиентов. Общение с клиентами по телефону. Встречи и переговоры с клиентами. Консультирование клиентов. Информирование клиентов о ходе дела. Прогнозирование результатов дела. Решение сопутствующих вопросов клиентов. Прием заказа. Регистрация информации о к</w:t>
            </w:r>
            <w:r>
              <w:rPr>
                <w:rFonts w:cs="Arial"/>
                <w:sz w:val="16"/>
                <w:szCs w:val="16"/>
              </w:rPr>
              <w:t>лиентах. Учет требований законодательства о персональных данных и о противодействии легализации имущества, добытого преступным путем. Прием документов от клиентов и их хранение. Конкретизация требований клиентов и их фиксация. Заключение договора с клиенто</w:t>
            </w:r>
            <w:r>
              <w:rPr>
                <w:rFonts w:cs="Arial"/>
                <w:sz w:val="16"/>
                <w:szCs w:val="16"/>
              </w:rPr>
              <w:t xml:space="preserve">м. Программное обеспечение для работы с клиентской базой и заказами. CRM. ERP. Выставление счетов. Бухгалтерские документы и расчеты с клиентом. Проблемы с оплатой услуг и взыскание задолженности. Передача заказа клиенту. Приемка выполненных услуг. Работа </w:t>
            </w:r>
            <w:r>
              <w:rPr>
                <w:rFonts w:cs="Arial"/>
                <w:sz w:val="16"/>
                <w:szCs w:val="16"/>
              </w:rPr>
              <w:t>с проблемными клиентами. Рассмотрение жалоб клиентов и разрешение конфликтов.</w:t>
            </w:r>
          </w:p>
          <w:p w:rsidR="00D056B8" w:rsidRDefault="00D056B8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 xml:space="preserve">для адвокатов – </w:t>
            </w:r>
            <w:r w:rsidRPr="000435E1">
              <w:rPr>
                <w:rFonts w:ascii="Arial" w:hAnsi="Arial" w:cs="Arial"/>
                <w:sz w:val="20"/>
                <w:szCs w:val="20"/>
              </w:rPr>
              <w:t>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>, адвокат, управяющий партнер юридической фирмы De Facto</w:t>
            </w:r>
          </w:p>
        </w:tc>
      </w:tr>
      <w:tr w:rsidR="00D056B8" w:rsidTr="00BE0BB4">
        <w:trPr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sz w:val="24"/>
                <w:szCs w:val="24"/>
              </w:rPr>
              <w:t>июня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4"/>
              </w:rPr>
              <w:t>Банкротство и несостоятельность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Обращение кредитора и должника с заявлением в суд о признании банкротом. Требования к иску. </w:t>
            </w:r>
            <w:r>
              <w:rPr>
                <w:rFonts w:cs="Arial"/>
                <w:sz w:val="16"/>
                <w:szCs w:val="16"/>
              </w:rPr>
              <w:t>Имущественная масса должника. Очередность распределения имущественной массы.  Реестр требований кредиторов.  Расчеты с кредиторами. Исполнение договора при банкротстве.  Реабилитация должника. Ликвидация должника (</w:t>
            </w:r>
            <w:proofErr w:type="spellStart"/>
            <w:r>
              <w:rPr>
                <w:rFonts w:cs="Arial"/>
                <w:sz w:val="16"/>
                <w:szCs w:val="16"/>
              </w:rPr>
              <w:t>банкротное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производство). Банкротство как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способ возврата долгов. Банкротство как способ ухода от долгов. Обжалование сделок в рамках процедуры банкротства. Возврат имущества должника. Ответственность за несвоевременное обращение с заявлением о банкротстве, за преднамеренное и ложное банкротство. </w:t>
            </w:r>
            <w:r>
              <w:rPr>
                <w:rFonts w:cs="Arial"/>
                <w:sz w:val="16"/>
                <w:szCs w:val="16"/>
              </w:rPr>
              <w:t>Субсидиарная ответственность по долгам банкрота.</w:t>
            </w:r>
          </w:p>
          <w:p w:rsidR="00E07C22" w:rsidRDefault="00E07C22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</w:p>
          <w:p w:rsidR="00D056B8" w:rsidRDefault="00D056B8">
            <w:pPr>
              <w:pStyle w:val="ab"/>
              <w:cnfStyle w:val="0000000000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Лекторы: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 xml:space="preserve">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 xml:space="preserve">, адвокат, управяющий партнер юридической фирмы De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lastRenderedPageBreak/>
              <w:t xml:space="preserve">Facto,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Сорокин Георгий Валерьевич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  <w:t>юрист юридической фирмы De Facto</w:t>
            </w: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 xml:space="preserve">17 </w:t>
            </w:r>
            <w:r>
              <w:rPr>
                <w:rFonts w:ascii="Arial" w:hAnsi="Arial" w:cs="Arial"/>
                <w:sz w:val="24"/>
                <w:szCs w:val="24"/>
              </w:rPr>
              <w:t>июня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1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Юридический тайм-менеджмент и эффективная организация работы юриста.</w:t>
            </w:r>
          </w:p>
          <w:p w:rsidR="00D056B8" w:rsidRDefault="00DE3D5B">
            <w:pPr>
              <w:pStyle w:val="ab"/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Причины нехватки времени и </w:t>
            </w:r>
            <w:r>
              <w:rPr>
                <w:rFonts w:cs="Arial"/>
                <w:sz w:val="16"/>
                <w:szCs w:val="16"/>
              </w:rPr>
              <w:t xml:space="preserve">неэффективной работы юриста. Фиксирование задач и проблем. Наиболее распространенные системы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тайм-менеджмента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и их применение в юридической практике (GTD, </w:t>
            </w:r>
            <w:proofErr w:type="spellStart"/>
            <w:r>
              <w:rPr>
                <w:rFonts w:cs="Arial"/>
                <w:sz w:val="16"/>
                <w:szCs w:val="16"/>
              </w:rPr>
              <w:t>Agile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Results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матрица С. </w:t>
            </w:r>
            <w:proofErr w:type="spellStart"/>
            <w:r>
              <w:rPr>
                <w:rFonts w:cs="Arial"/>
                <w:sz w:val="16"/>
                <w:szCs w:val="16"/>
              </w:rPr>
              <w:t>Кови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и другие). Инструменты для организации дел и управления временем.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Планировщики, органайзеры. Системы управления заметками, задачами и проектами. Системы документооборота.</w:t>
            </w:r>
          </w:p>
          <w:p w:rsidR="00D056B8" w:rsidRDefault="00D056B8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>, адвокат, управяющий партнер юридической фирмы De Facto</w:t>
            </w:r>
          </w:p>
          <w:p w:rsidR="00D056B8" w:rsidRDefault="00D056B8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i/>
              </w:rPr>
            </w:pPr>
          </w:p>
        </w:tc>
      </w:tr>
      <w:tr w:rsidR="00D056B8" w:rsidTr="00BE0BB4">
        <w:trPr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26 августа</w:t>
            </w:r>
          </w:p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0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Договор - составление и анализ.</w:t>
            </w:r>
          </w:p>
          <w:p w:rsidR="00D056B8" w:rsidRDefault="00DE3D5B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Порядок заключения договора. Оферта и акцепт. Согласование </w:t>
            </w:r>
            <w:r>
              <w:rPr>
                <w:rFonts w:cs="Arial"/>
                <w:sz w:val="16"/>
                <w:szCs w:val="16"/>
              </w:rPr>
              <w:t>текста договора с контрагентом  Протокол разногласий. Заключение договоров между отсутствующими сторонами. Форма договора и последствия ее несоблюдения. Обмен документами при заключении договора.  Государственная регистрация договора. Стороны договора. Наи</w:t>
            </w:r>
            <w:r>
              <w:rPr>
                <w:rFonts w:cs="Arial"/>
                <w:sz w:val="16"/>
                <w:szCs w:val="16"/>
              </w:rPr>
              <w:t xml:space="preserve">менование договора. Предмет договора. Существенные условия договора. Отдельные условия договора. Срок действия договора и срок выполнения обязательств. Вступление договора в силу и прекращение действия. Расторжение и изменение договора. Ответственность за </w:t>
            </w:r>
            <w:r>
              <w:rPr>
                <w:rFonts w:cs="Arial"/>
                <w:sz w:val="16"/>
                <w:szCs w:val="16"/>
              </w:rPr>
              <w:t xml:space="preserve">нарушение договора. Порядок разрешения споров. Реквизиты договора. Защита </w:t>
            </w:r>
            <w:r>
              <w:rPr>
                <w:rFonts w:cs="Arial"/>
                <w:sz w:val="16"/>
                <w:szCs w:val="16"/>
              </w:rPr>
              <w:lastRenderedPageBreak/>
              <w:t>интересов при заключении договора. Толкование договора. Анализ договора на соответствие законодательству.</w:t>
            </w:r>
          </w:p>
          <w:p w:rsidR="00D056B8" w:rsidRDefault="00D056B8">
            <w:pPr>
              <w:pStyle w:val="ab"/>
              <w:cnfStyle w:val="000000000000"/>
              <w:rPr>
                <w:rFonts w:cs="Arial"/>
                <w:b/>
                <w:bCs/>
                <w:sz w:val="22"/>
                <w:szCs w:val="22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0000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</w:tcPr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Лекторы: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 xml:space="preserve">, адвокат, управяющий партнер юридической фирмы De Facto,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Осетрова Ирина Валерьевна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  <w:t xml:space="preserve">юрист юридической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  <w:t>фирмы De Facto</w:t>
            </w: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 сентября 2016 7года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1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Интернет-сайт юриста и юридической фирмы.</w:t>
            </w:r>
          </w:p>
          <w:p w:rsidR="00D056B8" w:rsidRDefault="00DE3D5B">
            <w:pPr>
              <w:pStyle w:val="ab"/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Виды сайтов (визитка, корпоративный сайт, информационный портал). Разделы сайта (О фирме, О сайте, Услуги, Статьи, Новости). Самостоятельная разработка сайта или заказ в </w:t>
            </w:r>
            <w:proofErr w:type="spellStart"/>
            <w:r>
              <w:rPr>
                <w:rFonts w:cs="Arial"/>
                <w:sz w:val="16"/>
                <w:szCs w:val="16"/>
              </w:rPr>
              <w:t>веб-студии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Техническое задание. Домен и </w:t>
            </w:r>
            <w:proofErr w:type="spellStart"/>
            <w:r>
              <w:rPr>
                <w:rFonts w:cs="Arial"/>
                <w:sz w:val="16"/>
                <w:szCs w:val="16"/>
              </w:rPr>
              <w:t>хостинг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Системы управления </w:t>
            </w:r>
            <w:proofErr w:type="spellStart"/>
            <w:r>
              <w:rPr>
                <w:rFonts w:cs="Arial"/>
                <w:sz w:val="16"/>
                <w:szCs w:val="16"/>
              </w:rPr>
              <w:t>контентом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(CMS). Корпоративная почта. Посещаемость. Продвижение. SEO. Ключевые слова. Интернет-реклама (</w:t>
            </w:r>
            <w:proofErr w:type="spellStart"/>
            <w:r>
              <w:rPr>
                <w:rFonts w:cs="Arial"/>
                <w:sz w:val="16"/>
                <w:szCs w:val="16"/>
              </w:rPr>
              <w:t>Google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Adsense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Яндекс</w:t>
            </w:r>
            <w:proofErr w:type="gramStart"/>
            <w:r>
              <w:rPr>
                <w:rFonts w:cs="Arial"/>
                <w:sz w:val="16"/>
                <w:szCs w:val="16"/>
              </w:rPr>
              <w:t>.Д</w:t>
            </w:r>
            <w:proofErr w:type="gramEnd"/>
            <w:r>
              <w:rPr>
                <w:rFonts w:cs="Arial"/>
                <w:sz w:val="16"/>
                <w:szCs w:val="16"/>
              </w:rPr>
              <w:t>ирект</w:t>
            </w:r>
            <w:proofErr w:type="spellEnd"/>
            <w:r>
              <w:rPr>
                <w:rFonts w:cs="Arial"/>
                <w:sz w:val="16"/>
                <w:szCs w:val="16"/>
              </w:rPr>
              <w:t>). Реклама в социальных сетях. Рассылки.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Продажи услуг</w:t>
            </w:r>
            <w:r>
              <w:rPr>
                <w:rFonts w:cs="Arial"/>
                <w:sz w:val="16"/>
                <w:szCs w:val="16"/>
              </w:rPr>
              <w:t xml:space="preserve"> с помощью юридического сайта.</w:t>
            </w:r>
          </w:p>
          <w:p w:rsidR="00D056B8" w:rsidRDefault="00D056B8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056B8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</w:p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>, адвокат, управяющий партнер юридической фирмы De Facto</w:t>
            </w:r>
          </w:p>
        </w:tc>
      </w:tr>
      <w:tr w:rsidR="00D056B8" w:rsidTr="00BE0BB4">
        <w:trPr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сентября 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0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Недействительные сделки.</w:t>
            </w:r>
          </w:p>
          <w:p w:rsidR="00D056B8" w:rsidRDefault="00DE3D5B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Основания недействительности сделок (ГК, Закон «О реабилитации и банкротстве», другие законы). Недействительность сделок в АО и ТОО. Недействительность решений органов юридических лиц. Последствия признания сделки недействительной. Рассмотрение дел в суде </w:t>
            </w:r>
            <w:r>
              <w:rPr>
                <w:rFonts w:cs="Arial"/>
                <w:sz w:val="16"/>
                <w:szCs w:val="16"/>
              </w:rPr>
              <w:t xml:space="preserve">о признании сделок </w:t>
            </w:r>
            <w:proofErr w:type="gramStart"/>
            <w:r>
              <w:rPr>
                <w:rFonts w:cs="Arial"/>
                <w:sz w:val="16"/>
                <w:szCs w:val="16"/>
              </w:rPr>
              <w:t>недействительными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 Подготовка к предъявлению иска. Подготовка к рассмотрению дела. Судебное разбирательство по делам о признании сделок </w:t>
            </w:r>
            <w:proofErr w:type="gramStart"/>
            <w:r>
              <w:rPr>
                <w:rFonts w:cs="Arial"/>
                <w:sz w:val="16"/>
                <w:szCs w:val="16"/>
              </w:rPr>
              <w:t>недействительными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 Процесс доказывания. </w:t>
            </w:r>
            <w:proofErr w:type="gramStart"/>
            <w:r>
              <w:rPr>
                <w:rFonts w:cs="Arial"/>
                <w:sz w:val="16"/>
                <w:szCs w:val="16"/>
              </w:rPr>
              <w:t>Процессуальные особенности рассмотрения отдельных споров о пр</w:t>
            </w:r>
            <w:r>
              <w:rPr>
                <w:rFonts w:cs="Arial"/>
                <w:sz w:val="16"/>
                <w:szCs w:val="16"/>
              </w:rPr>
              <w:t xml:space="preserve">изнании сделок недействительными (купля-продажа, аренда, лизинг, </w:t>
            </w:r>
            <w:proofErr w:type="gramEnd"/>
          </w:p>
          <w:p w:rsidR="00D056B8" w:rsidRDefault="00DE3D5B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подряд, оказание услуг, сделки в преддверии банкротства). Признание сделки недействительной как способ защиты от предъявленного иска. Сроки исковой давности. Приведение сторон сделки в перво</w:t>
            </w:r>
            <w:r>
              <w:rPr>
                <w:rFonts w:cs="Arial"/>
                <w:sz w:val="16"/>
                <w:szCs w:val="16"/>
              </w:rPr>
              <w:t>начальное положение (реституция). Возврат имущества, переданного по недействительной сделке.</w:t>
            </w: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</w:p>
          <w:p w:rsidR="00D056B8" w:rsidRDefault="00D056B8">
            <w:pPr>
              <w:pStyle w:val="ab"/>
              <w:cnfStyle w:val="000000000000"/>
              <w:rPr>
                <w:rFonts w:cs="Arial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</w:t>
            </w:r>
            <w:r w:rsidRPr="000435E1">
              <w:rPr>
                <w:rFonts w:ascii="Arial" w:hAnsi="Arial" w:cs="Arial"/>
                <w:sz w:val="20"/>
                <w:szCs w:val="20"/>
              </w:rPr>
              <w:t>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Лекторы: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 xml:space="preserve">, адвокат, управяющий партнер юридической фирмы De Facto,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Сорокин Георгий Валерьевич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 w:eastAsia="ru-RU"/>
              </w:rPr>
              <w:t>юрист юридической фирмы De Facto</w:t>
            </w:r>
          </w:p>
        </w:tc>
      </w:tr>
      <w:tr w:rsidR="00D056B8" w:rsidTr="00BE0BB4">
        <w:trPr>
          <w:cnfStyle w:val="000000100000"/>
          <w:trHeight w:val="1134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>07 октября 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1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Проектный подход в работе юриста.</w:t>
            </w:r>
          </w:p>
          <w:p w:rsidR="00D056B8" w:rsidRDefault="00DE3D5B">
            <w:pPr>
              <w:pStyle w:val="ab"/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Понятие проекта и сущность проектного подхода в юридической работе. Внедрение проектного подхода. Виды проектов. Документация проекта. Программное обеспечение для управления проектами. Инициирование юридического проекта (создание команды, определение целей</w:t>
            </w:r>
            <w:r>
              <w:rPr>
                <w:rFonts w:cs="Arial"/>
                <w:sz w:val="16"/>
                <w:szCs w:val="16"/>
              </w:rPr>
              <w:t>, регистрация проекта). Планирование юридического проекта (получение исходных данных, определение целей, сбор материалов, прогноз результатов, оценка рисков). Исполнение проекта (регистрация хода исполнения, информирование об исполнении, реагирование на ри</w:t>
            </w:r>
            <w:r>
              <w:rPr>
                <w:rFonts w:cs="Arial"/>
                <w:sz w:val="16"/>
                <w:szCs w:val="16"/>
              </w:rPr>
              <w:t xml:space="preserve">ски). </w:t>
            </w:r>
            <w:proofErr w:type="gramStart"/>
            <w:r>
              <w:rPr>
                <w:rFonts w:cs="Arial"/>
                <w:sz w:val="16"/>
                <w:szCs w:val="16"/>
              </w:rPr>
              <w:t>Управление проектом (взаимодействие с участниками и третьими лицами.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Завершение проекта (оформление результатов, систематизация опыта). </w:t>
            </w:r>
          </w:p>
          <w:p w:rsidR="00D056B8" w:rsidRDefault="00D056B8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Специальная презентация, посвященная изучению вопросов электронного 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1000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>, адвокат, управяющий партнер юридической фирмы De Facto</w:t>
            </w:r>
          </w:p>
        </w:tc>
      </w:tr>
      <w:tr w:rsidR="00D056B8" w:rsidTr="00BE0BB4">
        <w:trPr>
          <w:trHeight w:val="60"/>
        </w:trPr>
        <w:tc>
          <w:tcPr>
            <w:cnfStyle w:val="001000000000"/>
            <w:tcW w:w="15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56B8" w:rsidRDefault="00DE3D5B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21 октября 2016 года</w:t>
            </w:r>
          </w:p>
        </w:tc>
        <w:tc>
          <w:tcPr>
            <w:tcW w:w="4763" w:type="dxa"/>
          </w:tcPr>
          <w:p w:rsidR="00D056B8" w:rsidRDefault="00DE3D5B">
            <w:pPr>
              <w:pStyle w:val="ab"/>
              <w:cnfStyle w:val="00000000000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Законодательное регулирование электронной коммерции в </w:t>
            </w:r>
            <w:r>
              <w:rPr>
                <w:rFonts w:cs="Arial"/>
                <w:b/>
                <w:bCs/>
                <w:sz w:val="24"/>
              </w:rPr>
              <w:t>Казахстане.</w:t>
            </w:r>
          </w:p>
          <w:p w:rsidR="00D056B8" w:rsidRDefault="00DE3D5B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Основные нормативно-правовые акты, регулирующие процесс электронной торговли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.. </w:t>
            </w:r>
            <w:proofErr w:type="gramEnd"/>
            <w:r>
              <w:rPr>
                <w:rFonts w:cs="Arial"/>
                <w:sz w:val="16"/>
                <w:szCs w:val="16"/>
              </w:rPr>
              <w:t>Сделки, совершаемые в Интернете. Правовые требования к организации сайтов для электронной торговли. Правовое регулирование операций с банковскими картами, приема пла</w:t>
            </w:r>
            <w:r>
              <w:rPr>
                <w:rFonts w:cs="Arial"/>
                <w:sz w:val="16"/>
                <w:szCs w:val="16"/>
              </w:rPr>
              <w:t xml:space="preserve">тежей с использованием терминалов, </w:t>
            </w:r>
            <w:proofErr w:type="spellStart"/>
            <w:r>
              <w:rPr>
                <w:rFonts w:cs="Arial"/>
                <w:sz w:val="16"/>
                <w:szCs w:val="16"/>
              </w:rPr>
              <w:t>веб-кошельков</w:t>
            </w:r>
            <w:proofErr w:type="spellEnd"/>
            <w:r>
              <w:rPr>
                <w:rFonts w:cs="Arial"/>
                <w:sz w:val="16"/>
                <w:szCs w:val="16"/>
              </w:rPr>
              <w:t>. Электронные платежные системы (</w:t>
            </w:r>
            <w:proofErr w:type="spellStart"/>
            <w:r>
              <w:rPr>
                <w:rFonts w:cs="Arial"/>
                <w:sz w:val="16"/>
                <w:szCs w:val="16"/>
              </w:rPr>
              <w:t>Webmoney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Яндекс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Деньги, </w:t>
            </w:r>
            <w:proofErr w:type="spellStart"/>
            <w:r>
              <w:rPr>
                <w:rFonts w:cs="Arial"/>
                <w:sz w:val="16"/>
                <w:szCs w:val="16"/>
              </w:rPr>
              <w:t>PayPal</w:t>
            </w:r>
            <w:proofErr w:type="spellEnd"/>
            <w:r>
              <w:rPr>
                <w:rFonts w:cs="Arial"/>
                <w:sz w:val="16"/>
                <w:szCs w:val="16"/>
              </w:rPr>
              <w:t>). Особенности продажи через интернет отельных видов товаров, работ и услуг. Особенности налогообложения и бухгалтерского учета электронной торг</w:t>
            </w:r>
            <w:r>
              <w:rPr>
                <w:rFonts w:cs="Arial"/>
                <w:sz w:val="16"/>
                <w:szCs w:val="16"/>
              </w:rPr>
              <w:t>овли. Процесс доставки товара. Жалобы и иски потребителей. Государственный контроль и надзор за электронной торговлей.</w:t>
            </w:r>
          </w:p>
          <w:p w:rsid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07C22" w:rsidRPr="00E07C22" w:rsidRDefault="00E07C22" w:rsidP="00E07C22">
            <w:pPr>
              <w:pStyle w:val="aa"/>
              <w:spacing w:after="0" w:line="240" w:lineRule="auto"/>
              <w:contextualSpacing/>
              <w:jc w:val="both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Специальная презентация, посвященная изучению вопросов электронного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судопроизводства: «Судебный кабинет», «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Тө</w:t>
            </w:r>
            <w:proofErr w:type="gramStart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рел</w:t>
            </w:r>
            <w:proofErr w:type="gramEnd"/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ік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», «</w:t>
            </w:r>
            <w:proofErr w:type="spellStart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Талдау</w:t>
            </w:r>
            <w:proofErr w:type="spellEnd"/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и т</w:t>
            </w:r>
            <w:r w:rsidRPr="00E07C22">
              <w:rPr>
                <w:rFonts w:ascii="Arial" w:hAnsi="Arial" w:cs="Arial"/>
                <w:b/>
                <w:i/>
                <w:sz w:val="20"/>
                <w:szCs w:val="20"/>
              </w:rPr>
              <w:t>.д.</w:t>
            </w:r>
          </w:p>
          <w:p w:rsidR="00E07C22" w:rsidRDefault="00E07C22">
            <w:pPr>
              <w:pStyle w:val="ab"/>
              <w:cnfStyle w:val="000000000000"/>
              <w:rPr>
                <w:rFonts w:cs="Arial"/>
                <w:sz w:val="16"/>
                <w:szCs w:val="16"/>
              </w:rPr>
            </w:pPr>
          </w:p>
        </w:tc>
        <w:tc>
          <w:tcPr>
            <w:tcW w:w="4867" w:type="dxa"/>
          </w:tcPr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35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435E1">
              <w:rPr>
                <w:rFonts w:ascii="Arial" w:hAnsi="Arial" w:cs="Arial"/>
                <w:sz w:val="20"/>
                <w:szCs w:val="20"/>
              </w:rPr>
              <w:t xml:space="preserve">. Астана, ул. </w:t>
            </w:r>
            <w:proofErr w:type="spellStart"/>
            <w:r w:rsidRPr="000435E1">
              <w:rPr>
                <w:rFonts w:ascii="Arial" w:hAnsi="Arial" w:cs="Arial"/>
                <w:sz w:val="20"/>
                <w:szCs w:val="20"/>
              </w:rPr>
              <w:t>Орынбор</w:t>
            </w:r>
            <w:proofErr w:type="spellEnd"/>
            <w:r w:rsidRPr="000435E1">
              <w:rPr>
                <w:rFonts w:ascii="Arial" w:hAnsi="Arial" w:cs="Arial"/>
                <w:sz w:val="20"/>
                <w:szCs w:val="20"/>
              </w:rPr>
              <w:t>, 8, Дом Министерств, подъезд – 3, офис – 706.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Время проведения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с 10:00 до 17:00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Стоимость учас</w:t>
            </w:r>
            <w:r w:rsidRPr="000435E1">
              <w:rPr>
                <w:rStyle w:val="a3"/>
                <w:rFonts w:ascii="Arial" w:hAnsi="Arial" w:cs="Arial"/>
                <w:sz w:val="20"/>
                <w:szCs w:val="20"/>
              </w:rPr>
              <w:t>тия</w:t>
            </w:r>
            <w:r w:rsidRPr="000435E1">
              <w:rPr>
                <w:rFonts w:ascii="Arial" w:hAnsi="Arial" w:cs="Arial"/>
                <w:sz w:val="20"/>
                <w:szCs w:val="20"/>
              </w:rPr>
              <w:t xml:space="preserve">: 30000 тенге, </w:t>
            </w:r>
          </w:p>
          <w:p w:rsidR="00D056B8" w:rsidRPr="000435E1" w:rsidRDefault="00DE3D5B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435E1">
              <w:rPr>
                <w:rFonts w:ascii="Arial" w:hAnsi="Arial" w:cs="Arial"/>
                <w:sz w:val="20"/>
                <w:szCs w:val="20"/>
              </w:rPr>
              <w:t>для адвокатов – 20 000  тенге.</w:t>
            </w:r>
          </w:p>
          <w:p w:rsidR="00D056B8" w:rsidRPr="000435E1" w:rsidRDefault="00D056B8">
            <w:pPr>
              <w:pStyle w:val="aa"/>
              <w:shd w:val="clear" w:color="auto" w:fill="FFFFFF"/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</w:tcPr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</w:rPr>
              <w:t>Лектор: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D056B8" w:rsidRDefault="00DE3D5B">
            <w:pPr>
              <w:spacing w:after="0" w:line="240" w:lineRule="auto"/>
              <w:jc w:val="center"/>
              <w:cnfStyle w:val="000000000000"/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kk-KZ" w:eastAsia="ru-RU"/>
              </w:rPr>
              <w:t>Сизинцев Сергей Васильевич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kk-KZ" w:eastAsia="ru-RU"/>
              </w:rPr>
              <w:t>, адвокат, управяющий партнер юридической фирмы De Facto</w:t>
            </w:r>
          </w:p>
        </w:tc>
      </w:tr>
    </w:tbl>
    <w:p w:rsidR="00D056B8" w:rsidRDefault="00D056B8">
      <w:pPr>
        <w:spacing w:after="0" w:line="240" w:lineRule="auto"/>
        <w:jc w:val="center"/>
      </w:pPr>
    </w:p>
    <w:sectPr w:rsidR="00D056B8" w:rsidSect="00D056B8">
      <w:pgSz w:w="16838" w:h="11906" w:orient="landscape"/>
      <w:pgMar w:top="850" w:right="1134" w:bottom="170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6B8"/>
    <w:rsid w:val="000435E1"/>
    <w:rsid w:val="002A0A74"/>
    <w:rsid w:val="00673DA1"/>
    <w:rsid w:val="00BE0BB4"/>
    <w:rsid w:val="00C95795"/>
    <w:rsid w:val="00D056B8"/>
    <w:rsid w:val="00DE3D5B"/>
    <w:rsid w:val="00E07C22"/>
    <w:rsid w:val="00FD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A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654"/>
    <w:rPr>
      <w:b/>
      <w:bCs/>
    </w:rPr>
  </w:style>
  <w:style w:type="paragraph" w:customStyle="1" w:styleId="a4">
    <w:name w:val="Заголовок"/>
    <w:basedOn w:val="a"/>
    <w:next w:val="a5"/>
    <w:rsid w:val="00E90408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"/>
    <w:rsid w:val="00E90408"/>
    <w:pPr>
      <w:spacing w:after="140" w:line="288" w:lineRule="auto"/>
    </w:pPr>
  </w:style>
  <w:style w:type="paragraph" w:styleId="a6">
    <w:name w:val="List"/>
    <w:basedOn w:val="a5"/>
    <w:rsid w:val="00E90408"/>
    <w:rPr>
      <w:rFonts w:cs="FreeSans"/>
    </w:rPr>
  </w:style>
  <w:style w:type="paragraph" w:styleId="a7">
    <w:name w:val="Title"/>
    <w:basedOn w:val="a"/>
    <w:rsid w:val="00D056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E90408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E904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rsid w:val="00973654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11BBA"/>
    <w:pPr>
      <w:widowControl w:val="0"/>
      <w:suppressAutoHyphens/>
      <w:spacing w:line="240" w:lineRule="auto"/>
      <w:jc w:val="both"/>
    </w:pPr>
    <w:rPr>
      <w:rFonts w:ascii="Arial" w:hAnsi="Arial" w:cs="Mangal"/>
      <w:color w:val="00000A"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D056B8"/>
  </w:style>
  <w:style w:type="paragraph" w:customStyle="1" w:styleId="ad">
    <w:name w:val="Заголовок таблицы"/>
    <w:basedOn w:val="ac"/>
    <w:rsid w:val="00D056B8"/>
  </w:style>
  <w:style w:type="table" w:styleId="ae">
    <w:name w:val="Table Grid"/>
    <w:basedOn w:val="a1"/>
    <w:uiPriority w:val="59"/>
    <w:rsid w:val="009736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E526A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E526A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E52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D637-6894-410A-8E4B-33B400E3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2442</Words>
  <Characters>13924</Characters>
  <Application>Microsoft Office Word</Application>
  <DocSecurity>0</DocSecurity>
  <Lines>116</Lines>
  <Paragraphs>32</Paragraphs>
  <ScaleCrop>false</ScaleCrop>
  <Company>WolfishLair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2016-03-04T08:54:00Z</dcterms:created>
  <dcterms:modified xsi:type="dcterms:W3CDTF">2016-03-04T08:54:00Z</dcterms:modified>
  <dc:language>ru-RU</dc:language>
</cp:coreProperties>
</file>