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A43C" w14:textId="77777777" w:rsidR="00AE2B20" w:rsidRPr="00AE2B20" w:rsidRDefault="00AE2B20" w:rsidP="00AE2B20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Жоба</w:t>
      </w:r>
      <w:proofErr w:type="spellEnd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2022 </w:t>
      </w: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жылғы</w:t>
      </w:r>
      <w:proofErr w:type="spellEnd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 </w:t>
      </w: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қаңтардағы</w:t>
      </w:r>
      <w:proofErr w:type="spellEnd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жағдай</w:t>
      </w:r>
      <w:proofErr w:type="spellEnd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бойынша</w:t>
      </w:r>
      <w:proofErr w:type="spellEnd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14:paraId="049964D2" w14:textId="77777777" w:rsidR="00AE2B20" w:rsidRPr="00AE2B20" w:rsidRDefault="00AE2B20" w:rsidP="00AE2B20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016F3E3" w14:textId="6E10760B" w:rsidR="009D090E" w:rsidRPr="00AE2B20" w:rsidRDefault="009D090E" w:rsidP="009D090E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А</w:t>
      </w: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двокаттар</w:t>
      </w:r>
      <w:proofErr w:type="spellEnd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алқалары</w:t>
      </w:r>
      <w:proofErr w:type="spellEnd"/>
    </w:p>
    <w:p w14:paraId="1D2FD462" w14:textId="77777777" w:rsidR="009D090E" w:rsidRDefault="00AE2B20" w:rsidP="009D090E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Республикалық</w:t>
      </w:r>
      <w:proofErr w:type="spellEnd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конференция</w:t>
      </w:r>
      <w:r w:rsidR="009D090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сымен</w:t>
      </w:r>
      <w:r w:rsidR="009D090E" w:rsidRPr="009D0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BF8DB3C" w14:textId="3549AA8D" w:rsidR="009D090E" w:rsidRPr="00AE2B20" w:rsidRDefault="009D090E" w:rsidP="009D090E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б</w:t>
      </w: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екітілді</w:t>
      </w:r>
      <w:proofErr w:type="spellEnd"/>
    </w:p>
    <w:p w14:paraId="0156C2CF" w14:textId="44FF7CBD" w:rsidR="00AE2B20" w:rsidRPr="009D090E" w:rsidRDefault="00AE2B20" w:rsidP="00AE2B20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14:paraId="4E973532" w14:textId="77777777" w:rsidR="00AE2B20" w:rsidRPr="00AE2B20" w:rsidRDefault="00AE2B20" w:rsidP="00AE2B20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"__" _______2022 </w:t>
      </w:r>
      <w:proofErr w:type="spellStart"/>
      <w:r w:rsidRPr="00AE2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жыл</w:t>
      </w:r>
      <w:proofErr w:type="spellEnd"/>
    </w:p>
    <w:p w14:paraId="19E091F6" w14:textId="2B970DEE" w:rsidR="00AE2B20" w:rsidRPr="009D090E" w:rsidRDefault="009D090E" w:rsidP="00AE2B20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</w:p>
    <w:p w14:paraId="574C5931" w14:textId="77777777" w:rsidR="00AE2B20" w:rsidRPr="00AE2B20" w:rsidRDefault="00AE2B20" w:rsidP="00AE2B20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7D18AD4" w14:textId="77777777" w:rsidR="00AE2B20" w:rsidRPr="00AE2B20" w:rsidRDefault="00AE2B20" w:rsidP="00AE2B20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Республикалық</w:t>
      </w:r>
      <w:proofErr w:type="spellEnd"/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адвокаттар</w:t>
      </w:r>
      <w:proofErr w:type="spellEnd"/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алқасының</w:t>
      </w:r>
      <w:proofErr w:type="spellEnd"/>
    </w:p>
    <w:p w14:paraId="39C6E9E1" w14:textId="1470C3E8" w:rsidR="00AE2B20" w:rsidRPr="00AE2B20" w:rsidRDefault="000A77F5" w:rsidP="00AE2B20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Ғ</w:t>
      </w:r>
      <w:proofErr w:type="spellStart"/>
      <w:r w:rsidR="00AE2B20"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ылыми-консультативтік</w:t>
      </w:r>
      <w:proofErr w:type="spellEnd"/>
      <w:r w:rsidR="00AE2B20"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E2B20"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Кеңес</w:t>
      </w:r>
      <w:proofErr w:type="spellEnd"/>
      <w:r w:rsidR="00AE2B20"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E2B20"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</w:p>
    <w:p w14:paraId="72F08A56" w14:textId="5D3F1FEC" w:rsidR="00AE2B20" w:rsidRPr="00AE2B20" w:rsidRDefault="00AE2B20" w:rsidP="00AE2B20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</w:t>
      </w:r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СІ</w:t>
      </w:r>
    </w:p>
    <w:p w14:paraId="6CC7C5B9" w14:textId="77777777" w:rsidR="00AE2B20" w:rsidRPr="00AE2B20" w:rsidRDefault="00AE2B20" w:rsidP="00AE2B20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93AD3" w14:textId="18FAA045" w:rsidR="00AE2B20" w:rsidRPr="00AE2B20" w:rsidRDefault="00AE2B20" w:rsidP="00AE2B20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ережелер</w:t>
      </w:r>
      <w:proofErr w:type="spellEnd"/>
    </w:p>
    <w:p w14:paraId="62528ACA" w14:textId="77777777" w:rsidR="00AE2B20" w:rsidRPr="00AE2B20" w:rsidRDefault="00AE2B20" w:rsidP="00AE2B2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6EB0C" w14:textId="583132F7" w:rsidR="00AE2B20" w:rsidRPr="00AE2B20" w:rsidRDefault="00AE2B20" w:rsidP="00AE2B20">
      <w:pPr>
        <w:spacing w:after="0" w:line="240" w:lineRule="auto"/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Ғылыми-консультативтік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-Ғ</w:t>
      </w:r>
      <w:r w:rsidR="009D09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адвокаттар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алқасының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жарғысы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7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67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РАА</w:t>
      </w:r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Жарғысы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консультативтік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Адвокаттық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Заңының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65-бабының 10-тармағына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құрылған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7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РАА</w:t>
      </w:r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Төралқасы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құратын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адвокаттар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алқасының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67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РАА</w:t>
      </w:r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консультативтік-кеңесші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AE2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923256" w14:textId="7097CF50" w:rsidR="00AE2B20" w:rsidRPr="0016241C" w:rsidRDefault="00AE2B20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07827CB" w14:textId="77777777" w:rsidR="00AE2B20" w:rsidRDefault="00AE2B20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AD72D74" w14:textId="2AAE9D9A" w:rsidR="00AE2B20" w:rsidRDefault="00AE2B20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7E0E0E9" w14:textId="5920F474" w:rsidR="00BA000F" w:rsidRDefault="00BA000F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A19878D" w14:textId="77777777" w:rsidR="00BA000F" w:rsidRPr="00BA000F" w:rsidRDefault="00BA000F" w:rsidP="00BA000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Мақсаты</w:t>
      </w:r>
      <w:proofErr w:type="spellEnd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негізгі</w:t>
      </w:r>
      <w:proofErr w:type="spellEnd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міндеттері</w:t>
      </w:r>
      <w:proofErr w:type="spellEnd"/>
    </w:p>
    <w:p w14:paraId="70721A71" w14:textId="77777777" w:rsidR="00BA000F" w:rsidRPr="00BA000F" w:rsidRDefault="00BA000F" w:rsidP="00BA000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Ғылыми-консультативтік</w:t>
      </w:r>
      <w:proofErr w:type="spellEnd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кеңестің</w:t>
      </w:r>
      <w:proofErr w:type="spellEnd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функциялары</w:t>
      </w:r>
      <w:proofErr w:type="spellEnd"/>
    </w:p>
    <w:p w14:paraId="646D424E" w14:textId="77777777" w:rsidR="00BA000F" w:rsidRP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95A1D9" w14:textId="031E3383" w:rsidR="00BA000F" w:rsidRP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жетілдіру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реттейтін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негізделген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ұсынымдар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әзірлеуде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РАА</w:t>
      </w: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сүйемелдеу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тәжірибе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заңнаманы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дамытудың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өзекті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проблемаларын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ED0CE" w14:textId="654B5E89" w:rsidR="00BA000F" w:rsidRP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3. ҒК</w:t>
      </w:r>
      <w:r w:rsidR="00334C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4D59E8" w14:textId="77777777" w:rsidR="00BA000F" w:rsidRP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адвокатураны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оны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Нормативтік-құқықтық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ұйымдық-әдістемелік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негізделген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ұсынымдар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әзірлеу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7F08C6" w14:textId="77777777" w:rsidR="00BA000F" w:rsidRP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қызметтің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проблемалық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әзірлеу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807890" w14:textId="0C8F6B38" w:rsidR="00BA000F" w:rsidRP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адвокатураның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етуде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перспективалық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ағымдағы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қажеттіліктерін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болжау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9DDD9E" w14:textId="77777777" w:rsidR="00BA000F" w:rsidRP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алқасын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қызметіне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қатысуға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қолдап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отыруды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қамтиды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154AB" w14:textId="20498450" w:rsidR="00BA000F" w:rsidRP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қазақстандық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заңнаманы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дамытудың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өзекті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проблемаларын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жетілдіру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әзірлеу</w:t>
      </w:r>
      <w:proofErr w:type="spellEnd"/>
      <w:r w:rsidRPr="00BA0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2E6BA" w14:textId="77777777" w:rsidR="00BA000F" w:rsidRDefault="00BA000F" w:rsidP="00BA00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04B643" w14:textId="77777777" w:rsidR="00DD1A38" w:rsidRPr="00DD1A38" w:rsidRDefault="00561D37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 xml:space="preserve">4. </w:t>
      </w:r>
      <w:r w:rsidR="00DD1A38" w:rsidRPr="00DD1A38">
        <w:rPr>
          <w:rFonts w:ascii="Times New Roman" w:hAnsi="Times New Roman" w:cs="Times New Roman"/>
          <w:sz w:val="28"/>
          <w:szCs w:val="28"/>
        </w:rPr>
        <w:t xml:space="preserve">ҒКК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нормативтік-құқықтық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база мен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зерделеу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РАА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, РАА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Төралқасының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тұжырымдарын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38" w:rsidRPr="00DD1A38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r w:rsidR="00DD1A38" w:rsidRPr="00DD1A38">
        <w:rPr>
          <w:rFonts w:ascii="Times New Roman" w:hAnsi="Times New Roman" w:cs="Times New Roman"/>
          <w:sz w:val="28"/>
          <w:szCs w:val="28"/>
        </w:rPr>
        <w:t>:</w:t>
      </w:r>
    </w:p>
    <w:p w14:paraId="0CD10F38" w14:textId="77777777" w:rsidR="00DD1A38" w:rsidRPr="00DD1A38" w:rsidRDefault="00DD1A38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3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ведомствоаралық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қарауына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тұжырымдамаларының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>;</w:t>
      </w:r>
    </w:p>
    <w:p w14:paraId="4B4199E1" w14:textId="77777777" w:rsidR="00DD1A38" w:rsidRPr="00DD1A38" w:rsidRDefault="00DD1A38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әзірлеуші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Мәжілісінің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топтарында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қаралатын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заңдардың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>;</w:t>
      </w:r>
    </w:p>
    <w:p w14:paraId="2EB931F8" w14:textId="77777777" w:rsidR="00DD1A38" w:rsidRPr="00DD1A38" w:rsidRDefault="00DD1A38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3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Сотының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қаулылары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>;</w:t>
      </w:r>
    </w:p>
    <w:p w14:paraId="11BEB9C8" w14:textId="77777777" w:rsidR="00DD1A38" w:rsidRPr="00DD1A38" w:rsidRDefault="00DD1A38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3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сараптамаға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РАА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>;</w:t>
      </w:r>
    </w:p>
    <w:p w14:paraId="5CE9FA75" w14:textId="77777777" w:rsidR="00DD1A38" w:rsidRPr="00DD1A38" w:rsidRDefault="00DD1A38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38">
        <w:rPr>
          <w:rFonts w:ascii="Times New Roman" w:hAnsi="Times New Roman" w:cs="Times New Roman"/>
          <w:sz w:val="28"/>
          <w:szCs w:val="28"/>
        </w:rPr>
        <w:t xml:space="preserve">5) РАА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позициялары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>;</w:t>
      </w:r>
    </w:p>
    <w:p w14:paraId="173A3B50" w14:textId="77777777" w:rsidR="00DD1A38" w:rsidRPr="00DD1A38" w:rsidRDefault="00DD1A38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38">
        <w:rPr>
          <w:rFonts w:ascii="Times New Roman" w:hAnsi="Times New Roman" w:cs="Times New Roman"/>
          <w:sz w:val="28"/>
          <w:szCs w:val="28"/>
        </w:rPr>
        <w:t xml:space="preserve">6) РАА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регламенттерін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құжаттары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>;</w:t>
      </w:r>
    </w:p>
    <w:p w14:paraId="3002399D" w14:textId="77777777" w:rsidR="00DD1A38" w:rsidRPr="00DD1A38" w:rsidRDefault="00DD1A38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38">
        <w:rPr>
          <w:rFonts w:ascii="Times New Roman" w:hAnsi="Times New Roman" w:cs="Times New Roman"/>
          <w:sz w:val="28"/>
          <w:szCs w:val="28"/>
        </w:rPr>
        <w:t xml:space="preserve">7) РАА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әзірлейтін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қосалқы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>;</w:t>
      </w:r>
    </w:p>
    <w:p w14:paraId="6156AFDB" w14:textId="77777777" w:rsidR="00DD1A38" w:rsidRDefault="00DD1A38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3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38">
        <w:rPr>
          <w:rFonts w:ascii="Times New Roman" w:hAnsi="Times New Roman" w:cs="Times New Roman"/>
          <w:sz w:val="28"/>
          <w:szCs w:val="28"/>
        </w:rPr>
        <w:t>енгізеді</w:t>
      </w:r>
      <w:proofErr w:type="spellEnd"/>
      <w:r w:rsidRPr="00DD1A38">
        <w:rPr>
          <w:rFonts w:ascii="Times New Roman" w:hAnsi="Times New Roman" w:cs="Times New Roman"/>
          <w:sz w:val="28"/>
          <w:szCs w:val="28"/>
        </w:rPr>
        <w:t>.</w:t>
      </w:r>
    </w:p>
    <w:p w14:paraId="23097AB0" w14:textId="77777777" w:rsidR="006314ED" w:rsidRDefault="006314ED" w:rsidP="00DD1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598DA" w14:textId="3E42C869" w:rsidR="0098526D" w:rsidRPr="0098526D" w:rsidRDefault="00E00EC9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EC9">
        <w:rPr>
          <w:rFonts w:ascii="Times New Roman" w:hAnsi="Times New Roman" w:cs="Times New Roman"/>
          <w:sz w:val="28"/>
          <w:szCs w:val="28"/>
        </w:rPr>
        <w:t xml:space="preserve">5. </w:t>
      </w:r>
      <w:r w:rsidR="0098526D" w:rsidRPr="0098526D">
        <w:rPr>
          <w:rFonts w:ascii="Times New Roman" w:hAnsi="Times New Roman" w:cs="Times New Roman"/>
          <w:sz w:val="28"/>
          <w:szCs w:val="28"/>
        </w:rPr>
        <w:t xml:space="preserve">ҒКК РАА </w:t>
      </w:r>
      <w:proofErr w:type="spellStart"/>
      <w:r w:rsidR="0098526D" w:rsidRPr="0098526D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="0098526D" w:rsidRPr="0098526D">
        <w:rPr>
          <w:rFonts w:ascii="Times New Roman" w:hAnsi="Times New Roman" w:cs="Times New Roman"/>
          <w:sz w:val="28"/>
          <w:szCs w:val="28"/>
        </w:rPr>
        <w:t xml:space="preserve">, </w:t>
      </w:r>
      <w:r w:rsidR="0098526D">
        <w:rPr>
          <w:rFonts w:ascii="Times New Roman" w:hAnsi="Times New Roman" w:cs="Times New Roman"/>
          <w:sz w:val="28"/>
          <w:szCs w:val="28"/>
          <w:lang w:val="kk-KZ"/>
        </w:rPr>
        <w:t>РАА</w:t>
      </w:r>
      <w:r w:rsidR="0098526D"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6D" w:rsidRPr="0098526D">
        <w:rPr>
          <w:rFonts w:ascii="Times New Roman" w:hAnsi="Times New Roman" w:cs="Times New Roman"/>
          <w:sz w:val="28"/>
          <w:szCs w:val="28"/>
        </w:rPr>
        <w:t>Төралқасының</w:t>
      </w:r>
      <w:proofErr w:type="spellEnd"/>
      <w:r w:rsidR="0098526D"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6D" w:rsidRPr="0098526D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="0098526D"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6D"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98526D"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6D" w:rsidRPr="0098526D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="0098526D"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6D" w:rsidRPr="0098526D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 w:rsidR="0098526D"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6D" w:rsidRPr="0098526D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="0098526D" w:rsidRPr="0098526D">
        <w:rPr>
          <w:rFonts w:ascii="Times New Roman" w:hAnsi="Times New Roman" w:cs="Times New Roman"/>
          <w:sz w:val="28"/>
          <w:szCs w:val="28"/>
        </w:rPr>
        <w:t>:</w:t>
      </w:r>
    </w:p>
    <w:p w14:paraId="575599BE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проблемалық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бостандықтары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қорғауды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төрелігіне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жеткізуі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;</w:t>
      </w:r>
    </w:p>
    <w:p w14:paraId="09F7F0DC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адвокатураның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етуде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перспективалық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болжауды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;</w:t>
      </w:r>
    </w:p>
    <w:p w14:paraId="07DFE272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төрелігіне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жеткізуі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адвокатураның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талдайды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проблемаларды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proofErr w:type="gramStart"/>
      <w:r w:rsidRPr="0098526D">
        <w:rPr>
          <w:rFonts w:ascii="Times New Roman" w:hAnsi="Times New Roman" w:cs="Times New Roman"/>
          <w:sz w:val="28"/>
          <w:szCs w:val="28"/>
        </w:rPr>
        <w:t>; ;</w:t>
      </w:r>
      <w:proofErr w:type="gramEnd"/>
    </w:p>
    <w:p w14:paraId="32FEDD92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адвокаттарға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ұсынымдарды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.</w:t>
      </w:r>
    </w:p>
    <w:p w14:paraId="7686FFAE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заңнаманы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проблемаларын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адвокатураға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сот-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талдайды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;</w:t>
      </w:r>
    </w:p>
    <w:p w14:paraId="340BA7A7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адвокатура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актілердің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пысықтауды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;</w:t>
      </w:r>
    </w:p>
    <w:p w14:paraId="3E2B8BCF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адвокатура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актілерге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ұсыныстарды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РАА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басшылығына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енгізеді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;</w:t>
      </w:r>
    </w:p>
    <w:p w14:paraId="279F4B62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жобаларына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;</w:t>
      </w:r>
    </w:p>
    <w:p w14:paraId="251BB782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адвокатура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ұйымдармен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орнатады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;</w:t>
      </w:r>
    </w:p>
    <w:p w14:paraId="335BC5F4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пысықтауды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адвокатура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РАА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өткізетін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үстелдер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симпозиумдар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.</w:t>
      </w:r>
    </w:p>
    <w:p w14:paraId="62C5DF4E" w14:textId="77777777" w:rsidR="0098526D" w:rsidRPr="0098526D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адвокаттардың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кірістерді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заңдастыруға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жылыстатуға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терроризмді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қаржыландыруға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заңнамасының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мониторингінің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сақтауы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;</w:t>
      </w:r>
    </w:p>
    <w:p w14:paraId="52D6FA98" w14:textId="1E4A4890" w:rsidR="00F1393E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6D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адвокаттардың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6D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98526D">
        <w:rPr>
          <w:rFonts w:ascii="Times New Roman" w:hAnsi="Times New Roman" w:cs="Times New Roman"/>
          <w:sz w:val="28"/>
          <w:szCs w:val="28"/>
        </w:rPr>
        <w:t>.</w:t>
      </w:r>
    </w:p>
    <w:p w14:paraId="22CE70C4" w14:textId="77777777" w:rsidR="0098526D" w:rsidRPr="00A81CEB" w:rsidRDefault="0098526D" w:rsidP="009852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0651CF" w14:textId="1C2D7445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Қалыптастыру</w:t>
      </w:r>
      <w:proofErr w:type="spellEnd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ҒКК </w:t>
      </w:r>
      <w:proofErr w:type="spellStart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құрылымы</w:t>
      </w:r>
      <w:proofErr w:type="spellEnd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оның</w:t>
      </w:r>
      <w:proofErr w:type="spellEnd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қызметін</w:t>
      </w:r>
      <w:proofErr w:type="spellEnd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ұйымдастыру</w:t>
      </w:r>
      <w:proofErr w:type="spellEnd"/>
    </w:p>
    <w:p w14:paraId="527D1916" w14:textId="77777777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384540" w14:textId="3BF55F01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6. ҒКК-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тің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сандық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ашық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жолымен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бекітеді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өкілеттік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төрт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07DEA" w14:textId="5164C06C" w:rsidR="00C50B65" w:rsidRPr="00D40A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кандидатуралар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алқалары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төралқаларының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мүшелерімен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қолдаухаттарымен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ұсынылады</w:t>
      </w:r>
      <w:proofErr w:type="spellEnd"/>
      <w:r w:rsid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РАА</w:t>
      </w:r>
      <w:r w:rsidR="00D40A65" w:rsidRP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Төралқасы </w:t>
      </w:r>
      <w:r w:rsid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ҒКК</w:t>
      </w:r>
      <w:r w:rsidR="00D40A65" w:rsidRP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төрағасын </w:t>
      </w:r>
      <w:r w:rsid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ҒКК</w:t>
      </w:r>
      <w:r w:rsidR="00D40A65" w:rsidRP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мүшелерінің арасынан </w:t>
      </w:r>
      <w:r w:rsid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РАА</w:t>
      </w:r>
      <w:r w:rsidR="00D40A65" w:rsidRP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Төрағасы ұсынған кандидаттар арасынан сайлайды.</w:t>
      </w:r>
    </w:p>
    <w:p w14:paraId="3D3B55F2" w14:textId="344F34E1" w:rsidR="00C50B65" w:rsidRPr="00D40A65" w:rsidRDefault="00D40A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ҒКК</w:t>
      </w:r>
      <w:r w:rsidR="00C50B65" w:rsidRP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 құрамынан ашық дауыс беру арқылы Хатшыны сайлайды.</w:t>
      </w:r>
    </w:p>
    <w:p w14:paraId="285CF9E2" w14:textId="4F4A88E5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Адвокатураны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жобаларын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топтарын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әзірлеу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практикалық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іс-шараларға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қатысатын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ҒКК-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B2C32" w14:textId="7972A9BB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құратын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B2C85" w14:textId="3EE66465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қажеттілігіне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бірақ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тоқсанына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бетпе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-бет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кездесу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құралдарын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қашықтықтан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өткізіледі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7A030" w14:textId="77777777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ҒКК-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нің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кезектен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қажеттілігіне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үштен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екісінің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бастамасы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қашықтықтан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өткізіледі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894248" w14:textId="27A63B1A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Төрағасынан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Төрағасынан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келіп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қалыптастырылып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отырысында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бекітіледі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C08CE9" w14:textId="2F362811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отырыстарына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салалар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мамандары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шақыруы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AAECC" w14:textId="4BABE2ED" w:rsidR="00C50B65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жартысы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қатысқан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есептеледі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отырысқа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қатысып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көпшілік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дауысымен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қабылданады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дауыстары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бөлінген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шешуші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366F36" w14:textId="0E951B5A" w:rsidR="003D321E" w:rsidRPr="00C50B65" w:rsidRDefault="00C50B65" w:rsidP="00C50B65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Қабылданған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шешіммен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келіспейтін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пікірін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хаттамасына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тіркеледі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ҒКК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жүргізіледі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C5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714C1" w14:textId="77777777" w:rsidR="00C50B65" w:rsidRPr="00E13A70" w:rsidRDefault="00C50B65" w:rsidP="00C50B6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76A50" w14:textId="627DF391" w:rsidR="003D321E" w:rsidRDefault="006956ED" w:rsidP="006956ED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Төрағаның</w:t>
      </w:r>
      <w:proofErr w:type="spellEnd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жауапты</w:t>
      </w:r>
      <w:proofErr w:type="spellEnd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хатшының</w:t>
      </w:r>
      <w:proofErr w:type="spellEnd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ҒКК </w:t>
      </w:r>
      <w:proofErr w:type="spellStart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мүшелер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інің </w:t>
      </w:r>
      <w:proofErr w:type="spellStart"/>
      <w:r w:rsidRPr="0069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өкілеттіктері</w:t>
      </w:r>
      <w:proofErr w:type="spellEnd"/>
    </w:p>
    <w:p w14:paraId="14F5FC69" w14:textId="77777777" w:rsidR="006956ED" w:rsidRPr="00E13A70" w:rsidRDefault="006956ED" w:rsidP="006956ED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23A08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0908DD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ұйымдастырады</w:t>
      </w:r>
      <w:proofErr w:type="spellEnd"/>
      <w:proofErr w:type="gram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 ;</w:t>
      </w:r>
      <w:proofErr w:type="gramEnd"/>
    </w:p>
    <w:p w14:paraId="3EA5FCD2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отырыстардың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E0EBC5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хатшыға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ұсыныстармен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жүгінеді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C1921F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отырыстарында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төрағалық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0F99E3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қабылдаған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ұсынымдары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хабардар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8F6A9E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отырысында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қаралуға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жататын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жартыжылдық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9D802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интернет-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ресурсында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жарияланады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E0AFCE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салуы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52038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тапсырмасы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жобалау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қызметінде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сүйемелдеу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орындайды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алқаларының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құзыретіне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жатқызылған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орындайды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1C886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шешімінің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көрсеткен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тізімін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РАА 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шығындарын</w:t>
      </w:r>
      <w:proofErr w:type="spellEnd"/>
      <w:proofErr w:type="gram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өтеуге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арналып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шығыстар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сметасы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шеңберінде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ынталандыру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жәрдемдесетін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адамдардың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тізімін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26C81F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қағаздарын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алмасуды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үйлестіреді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хабардар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жоспарлары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шешімдерінің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82873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949FCA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құзыретіне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өзекті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C2E452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орындайды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өздері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жіберген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BDF2C2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қаржыландыруды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РАА-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өтеуге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шығыстардың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сметасына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6D592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өкілеттіктері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тоқтатылуға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0BF465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мүшесі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жүйелі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қатыспаса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AB7C91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қатысудың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еместігі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D69127" w14:textId="77777777" w:rsidR="0007586C" w:rsidRP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алқасына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мүшелік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тоқтатылатын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тұратын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78247B" w14:textId="77777777" w:rsidR="0007586C" w:rsidRDefault="0007586C" w:rsidP="000758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алқалары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төралқаларының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РАА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жаңартылуы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07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03B97" w14:textId="77777777" w:rsidR="0007586C" w:rsidRDefault="0007586C" w:rsidP="0007586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20497" w14:textId="77777777" w:rsidR="0007586C" w:rsidRPr="004879C1" w:rsidRDefault="0007586C" w:rsidP="004879C1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BAE8" w14:textId="77777777" w:rsidR="004879C1" w:rsidRPr="004879C1" w:rsidRDefault="004879C1" w:rsidP="004879C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ҒКК мен РАА,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органдармен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үкіметтік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емес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ұйымдармен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шетелдік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адвокаттық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құрылымдармен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қарым-қатынасы</w:t>
      </w:r>
      <w:proofErr w:type="spellEnd"/>
    </w:p>
    <w:p w14:paraId="0404160D" w14:textId="77777777" w:rsidR="004879C1" w:rsidRPr="004879C1" w:rsidRDefault="004879C1" w:rsidP="004879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93F1" w14:textId="77777777" w:rsidR="004879C1" w:rsidRPr="004879C1" w:rsidRDefault="004879C1" w:rsidP="004879C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ҒКК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қорытындыларын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төралқасы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E4644" w14:textId="77777777" w:rsidR="004879C1" w:rsidRPr="004879C1" w:rsidRDefault="004879C1" w:rsidP="004879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ҒКК-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қорытындыларын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адвокаттық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алқаларына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шығарушы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атқарушы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билігі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органдарына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AA5DA4" w14:textId="77777777" w:rsidR="004879C1" w:rsidRPr="004879C1" w:rsidRDefault="004879C1" w:rsidP="004879C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ҒКК РАА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келісімі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ұқсас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кеңестерімен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ғылыми-зерттеу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институттары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орындарының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кеңестерімен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адвокаттық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бірлестіктердің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ҒКК-мен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орнатады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қарым-қатынас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жасайды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74C99" w14:textId="77777777" w:rsidR="004879C1" w:rsidRPr="004879C1" w:rsidRDefault="004879C1" w:rsidP="004879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25243" w14:textId="77777777" w:rsidR="004879C1" w:rsidRPr="004879C1" w:rsidRDefault="004879C1" w:rsidP="004879C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Қорытынды</w:t>
      </w:r>
      <w:proofErr w:type="spellEnd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ережелер</w:t>
      </w:r>
      <w:proofErr w:type="spellEnd"/>
    </w:p>
    <w:p w14:paraId="5B3AB585" w14:textId="77777777" w:rsidR="004879C1" w:rsidRPr="004879C1" w:rsidRDefault="004879C1" w:rsidP="004879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29FB5" w14:textId="77777777" w:rsidR="004879C1" w:rsidRPr="004879C1" w:rsidRDefault="004879C1" w:rsidP="004879C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ҒКК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тапсырмасы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ҒКК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РАА интернет-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ресурсында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жарияланады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8944C" w14:textId="5AC5CE46" w:rsidR="00AB0EA6" w:rsidRPr="004879C1" w:rsidRDefault="004879C1" w:rsidP="004879C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ҒКК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алқаларының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конференциясының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тоқтатылады</w:t>
      </w:r>
      <w:proofErr w:type="spellEnd"/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B0EA6" w:rsidRPr="004879C1" w:rsidSect="009411B8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F52A" w14:textId="77777777" w:rsidR="00A7761E" w:rsidRDefault="00A7761E" w:rsidP="001505DC">
      <w:pPr>
        <w:spacing w:after="0" w:line="240" w:lineRule="auto"/>
      </w:pPr>
      <w:r>
        <w:separator/>
      </w:r>
    </w:p>
  </w:endnote>
  <w:endnote w:type="continuationSeparator" w:id="0">
    <w:p w14:paraId="27DC2286" w14:textId="77777777" w:rsidR="00A7761E" w:rsidRDefault="00A7761E" w:rsidP="0015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CE34" w14:textId="77777777" w:rsidR="00A7761E" w:rsidRDefault="00A7761E" w:rsidP="001505DC">
      <w:pPr>
        <w:spacing w:after="0" w:line="240" w:lineRule="auto"/>
      </w:pPr>
      <w:r>
        <w:separator/>
      </w:r>
    </w:p>
  </w:footnote>
  <w:footnote w:type="continuationSeparator" w:id="0">
    <w:p w14:paraId="1FD980A1" w14:textId="77777777" w:rsidR="00A7761E" w:rsidRDefault="00A7761E" w:rsidP="0015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046337"/>
      <w:docPartObj>
        <w:docPartGallery w:val="Page Numbers (Top of Page)"/>
        <w:docPartUnique/>
      </w:docPartObj>
    </w:sdtPr>
    <w:sdtEndPr/>
    <w:sdtContent>
      <w:p w14:paraId="1020BE0A" w14:textId="08A5015E" w:rsidR="001505DC" w:rsidRDefault="001505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FB">
          <w:rPr>
            <w:noProof/>
          </w:rPr>
          <w:t>5</w:t>
        </w:r>
        <w:r>
          <w:fldChar w:fldCharType="end"/>
        </w:r>
      </w:p>
    </w:sdtContent>
  </w:sdt>
  <w:p w14:paraId="5B883F2C" w14:textId="77777777" w:rsidR="001505DC" w:rsidRDefault="001505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FEB"/>
    <w:multiLevelType w:val="multilevel"/>
    <w:tmpl w:val="47A63AD4"/>
    <w:lvl w:ilvl="0">
      <w:start w:val="19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 w15:restartNumberingAfterBreak="0">
    <w:nsid w:val="0F94497A"/>
    <w:multiLevelType w:val="multilevel"/>
    <w:tmpl w:val="321E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E515B"/>
    <w:multiLevelType w:val="hybridMultilevel"/>
    <w:tmpl w:val="054A683C"/>
    <w:lvl w:ilvl="0" w:tplc="CE46D5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A18F4"/>
    <w:multiLevelType w:val="multilevel"/>
    <w:tmpl w:val="02084C40"/>
    <w:lvl w:ilvl="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205F16EB"/>
    <w:multiLevelType w:val="multilevel"/>
    <w:tmpl w:val="EF0E98E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A56E2"/>
    <w:multiLevelType w:val="multilevel"/>
    <w:tmpl w:val="B626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D7652"/>
    <w:multiLevelType w:val="hybridMultilevel"/>
    <w:tmpl w:val="3FE242A4"/>
    <w:lvl w:ilvl="0" w:tplc="9AB0F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3E7545"/>
    <w:multiLevelType w:val="multilevel"/>
    <w:tmpl w:val="34585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C326F"/>
    <w:multiLevelType w:val="multilevel"/>
    <w:tmpl w:val="38C2E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214F2"/>
    <w:multiLevelType w:val="multilevel"/>
    <w:tmpl w:val="665C6F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A087A"/>
    <w:multiLevelType w:val="hybridMultilevel"/>
    <w:tmpl w:val="76D8D7DA"/>
    <w:lvl w:ilvl="0" w:tplc="DD7EE63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CDE18F8"/>
    <w:multiLevelType w:val="multilevel"/>
    <w:tmpl w:val="3424A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F50BB"/>
    <w:multiLevelType w:val="multilevel"/>
    <w:tmpl w:val="DAA43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01FCE"/>
    <w:multiLevelType w:val="multilevel"/>
    <w:tmpl w:val="BB3A5A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A7836"/>
    <w:multiLevelType w:val="multilevel"/>
    <w:tmpl w:val="01D80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77FBD"/>
    <w:multiLevelType w:val="hybridMultilevel"/>
    <w:tmpl w:val="76D8D7DA"/>
    <w:lvl w:ilvl="0" w:tplc="DD7EE63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4F235DC"/>
    <w:multiLevelType w:val="multilevel"/>
    <w:tmpl w:val="F2486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52EC2"/>
    <w:multiLevelType w:val="multilevel"/>
    <w:tmpl w:val="DA62817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539FF"/>
    <w:multiLevelType w:val="multilevel"/>
    <w:tmpl w:val="770A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5F"/>
    <w:rsid w:val="0001071E"/>
    <w:rsid w:val="00017A81"/>
    <w:rsid w:val="000302DC"/>
    <w:rsid w:val="0004619B"/>
    <w:rsid w:val="00052C07"/>
    <w:rsid w:val="0007586C"/>
    <w:rsid w:val="00086787"/>
    <w:rsid w:val="000A77F5"/>
    <w:rsid w:val="000F4E3C"/>
    <w:rsid w:val="00104496"/>
    <w:rsid w:val="0011581E"/>
    <w:rsid w:val="0012558F"/>
    <w:rsid w:val="00131DEB"/>
    <w:rsid w:val="00141BD0"/>
    <w:rsid w:val="001505DC"/>
    <w:rsid w:val="00161543"/>
    <w:rsid w:val="0016241C"/>
    <w:rsid w:val="0017601B"/>
    <w:rsid w:val="001A09FE"/>
    <w:rsid w:val="001B7483"/>
    <w:rsid w:val="001F7EC4"/>
    <w:rsid w:val="00202C61"/>
    <w:rsid w:val="00243722"/>
    <w:rsid w:val="00282D43"/>
    <w:rsid w:val="0028434B"/>
    <w:rsid w:val="002B1812"/>
    <w:rsid w:val="003056A1"/>
    <w:rsid w:val="003177B7"/>
    <w:rsid w:val="00334C63"/>
    <w:rsid w:val="00337185"/>
    <w:rsid w:val="0036322E"/>
    <w:rsid w:val="0037562E"/>
    <w:rsid w:val="0038662C"/>
    <w:rsid w:val="003A0A6F"/>
    <w:rsid w:val="003D321E"/>
    <w:rsid w:val="00445CE0"/>
    <w:rsid w:val="00474C16"/>
    <w:rsid w:val="0048226E"/>
    <w:rsid w:val="004879C1"/>
    <w:rsid w:val="004A0EBC"/>
    <w:rsid w:val="004A7B1E"/>
    <w:rsid w:val="004A7E07"/>
    <w:rsid w:val="004B7BB8"/>
    <w:rsid w:val="004C6D56"/>
    <w:rsid w:val="004D7AD7"/>
    <w:rsid w:val="0055170E"/>
    <w:rsid w:val="00561D37"/>
    <w:rsid w:val="00566C9F"/>
    <w:rsid w:val="00573839"/>
    <w:rsid w:val="00593F8F"/>
    <w:rsid w:val="005A70FD"/>
    <w:rsid w:val="005B14A7"/>
    <w:rsid w:val="005B2A8B"/>
    <w:rsid w:val="005D053B"/>
    <w:rsid w:val="00605B11"/>
    <w:rsid w:val="00621A8E"/>
    <w:rsid w:val="0062794E"/>
    <w:rsid w:val="006314ED"/>
    <w:rsid w:val="00644C8B"/>
    <w:rsid w:val="00646E19"/>
    <w:rsid w:val="006956ED"/>
    <w:rsid w:val="006B01F4"/>
    <w:rsid w:val="006E7C4A"/>
    <w:rsid w:val="00744DB5"/>
    <w:rsid w:val="00745C49"/>
    <w:rsid w:val="00753CCE"/>
    <w:rsid w:val="007632E0"/>
    <w:rsid w:val="007640B8"/>
    <w:rsid w:val="00781E1E"/>
    <w:rsid w:val="007D134E"/>
    <w:rsid w:val="007D68FC"/>
    <w:rsid w:val="007F1533"/>
    <w:rsid w:val="00846D98"/>
    <w:rsid w:val="008522A9"/>
    <w:rsid w:val="0088394B"/>
    <w:rsid w:val="008B6131"/>
    <w:rsid w:val="008C3931"/>
    <w:rsid w:val="0090348E"/>
    <w:rsid w:val="00921759"/>
    <w:rsid w:val="009223DF"/>
    <w:rsid w:val="009411B8"/>
    <w:rsid w:val="00955E0B"/>
    <w:rsid w:val="009835B0"/>
    <w:rsid w:val="0098526D"/>
    <w:rsid w:val="00986C75"/>
    <w:rsid w:val="009932B0"/>
    <w:rsid w:val="00994613"/>
    <w:rsid w:val="009B4C35"/>
    <w:rsid w:val="009B4FFE"/>
    <w:rsid w:val="009D090E"/>
    <w:rsid w:val="009F6A12"/>
    <w:rsid w:val="00A446C7"/>
    <w:rsid w:val="00A565FB"/>
    <w:rsid w:val="00A7761E"/>
    <w:rsid w:val="00A81CEB"/>
    <w:rsid w:val="00AA604D"/>
    <w:rsid w:val="00AB0EA6"/>
    <w:rsid w:val="00AE2B20"/>
    <w:rsid w:val="00AF00E2"/>
    <w:rsid w:val="00B158C1"/>
    <w:rsid w:val="00B2134B"/>
    <w:rsid w:val="00B45F60"/>
    <w:rsid w:val="00B63DFE"/>
    <w:rsid w:val="00BA000F"/>
    <w:rsid w:val="00BA420B"/>
    <w:rsid w:val="00BA6FAE"/>
    <w:rsid w:val="00BF74B4"/>
    <w:rsid w:val="00C009A9"/>
    <w:rsid w:val="00C25389"/>
    <w:rsid w:val="00C3335A"/>
    <w:rsid w:val="00C4156E"/>
    <w:rsid w:val="00C50B65"/>
    <w:rsid w:val="00C54EAF"/>
    <w:rsid w:val="00C770A2"/>
    <w:rsid w:val="00C840FF"/>
    <w:rsid w:val="00C84E49"/>
    <w:rsid w:val="00CB65CA"/>
    <w:rsid w:val="00D33A3A"/>
    <w:rsid w:val="00D40A65"/>
    <w:rsid w:val="00DC08F2"/>
    <w:rsid w:val="00DC27A4"/>
    <w:rsid w:val="00DC5C8A"/>
    <w:rsid w:val="00DD1A38"/>
    <w:rsid w:val="00DE4579"/>
    <w:rsid w:val="00DF64D7"/>
    <w:rsid w:val="00E00EC9"/>
    <w:rsid w:val="00E043D7"/>
    <w:rsid w:val="00E13A70"/>
    <w:rsid w:val="00E353EF"/>
    <w:rsid w:val="00E7215C"/>
    <w:rsid w:val="00EA237C"/>
    <w:rsid w:val="00EB0BD1"/>
    <w:rsid w:val="00ED6155"/>
    <w:rsid w:val="00ED6AA2"/>
    <w:rsid w:val="00F0013F"/>
    <w:rsid w:val="00F1009B"/>
    <w:rsid w:val="00F1393E"/>
    <w:rsid w:val="00F15D5F"/>
    <w:rsid w:val="00F72E5E"/>
    <w:rsid w:val="00FB4DA4"/>
    <w:rsid w:val="00FD1FBC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FFED"/>
  <w15:docId w15:val="{929E8C88-738D-4FC6-AF92-8393286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D5F"/>
    <w:rPr>
      <w:b/>
      <w:bCs/>
    </w:rPr>
  </w:style>
  <w:style w:type="paragraph" w:styleId="a5">
    <w:name w:val="List Paragraph"/>
    <w:basedOn w:val="a"/>
    <w:uiPriority w:val="34"/>
    <w:qFormat/>
    <w:rsid w:val="00745C49"/>
    <w:pPr>
      <w:ind w:left="720"/>
      <w:contextualSpacing/>
    </w:pPr>
  </w:style>
  <w:style w:type="paragraph" w:styleId="a6">
    <w:name w:val="Revision"/>
    <w:hidden/>
    <w:uiPriority w:val="99"/>
    <w:semiHidden/>
    <w:rsid w:val="00BA42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20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5DC"/>
  </w:style>
  <w:style w:type="paragraph" w:styleId="ab">
    <w:name w:val="footer"/>
    <w:basedOn w:val="a"/>
    <w:link w:val="ac"/>
    <w:uiPriority w:val="99"/>
    <w:unhideWhenUsed/>
    <w:rsid w:val="0015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5DC"/>
  </w:style>
  <w:style w:type="table" w:styleId="ad">
    <w:name w:val="Table Grid"/>
    <w:basedOn w:val="a1"/>
    <w:uiPriority w:val="39"/>
    <w:rsid w:val="0056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Айнур Нурмангалиева</cp:lastModifiedBy>
  <cp:revision>9</cp:revision>
  <cp:lastPrinted>2022-01-24T04:32:00Z</cp:lastPrinted>
  <dcterms:created xsi:type="dcterms:W3CDTF">2022-01-25T06:40:00Z</dcterms:created>
  <dcterms:modified xsi:type="dcterms:W3CDTF">2022-01-26T10:41:00Z</dcterms:modified>
</cp:coreProperties>
</file>